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C7" w:rsidRDefault="00451DC7" w:rsidP="00451DC7">
      <w:pPr>
        <w:keepNext/>
        <w:keepLines/>
        <w:pageBreakBefore/>
        <w:jc w:val="center"/>
        <w:outlineLvl w:val="0"/>
        <w:rPr>
          <w:b/>
          <w:sz w:val="44"/>
          <w:szCs w:val="44"/>
        </w:rPr>
      </w:pPr>
      <w:bookmarkStart w:id="0" w:name="_Toc81575205"/>
      <w:bookmarkStart w:id="1" w:name="_Toc22314"/>
      <w:bookmarkStart w:id="2" w:name="_Toc12255"/>
      <w:bookmarkStart w:id="3" w:name="_Toc2916"/>
      <w:bookmarkStart w:id="4" w:name="_Toc81575168"/>
      <w:r>
        <w:rPr>
          <w:rFonts w:hint="eastAsia"/>
          <w:b/>
          <w:sz w:val="44"/>
          <w:szCs w:val="44"/>
        </w:rPr>
        <w:t>第四章</w:t>
      </w:r>
      <w:r>
        <w:rPr>
          <w:b/>
          <w:sz w:val="44"/>
          <w:szCs w:val="44"/>
        </w:rPr>
        <w:t xml:space="preserve">  </w:t>
      </w:r>
      <w:r>
        <w:rPr>
          <w:rFonts w:hint="eastAsia"/>
          <w:b/>
          <w:sz w:val="44"/>
          <w:szCs w:val="44"/>
        </w:rPr>
        <w:t>采购需求</w:t>
      </w:r>
      <w:bookmarkEnd w:id="0"/>
      <w:bookmarkEnd w:id="1"/>
      <w:bookmarkEnd w:id="2"/>
      <w:bookmarkEnd w:id="3"/>
      <w:bookmarkEnd w:id="4"/>
    </w:p>
    <w:p w:rsidR="00451DC7" w:rsidRDefault="002E6DB8" w:rsidP="002E6DB8">
      <w:pPr>
        <w:spacing w:line="480" w:lineRule="exact"/>
        <w:ind w:firstLineChars="200" w:firstLine="600"/>
        <w:rPr>
          <w:rFonts w:ascii="宋体" w:hAnsi="宋体"/>
          <w:b/>
          <w:sz w:val="24"/>
          <w:szCs w:val="24"/>
        </w:rPr>
      </w:pPr>
      <w:r>
        <w:rPr>
          <w:rFonts w:hint="eastAsia"/>
          <w:sz w:val="30"/>
          <w:szCs w:val="30"/>
        </w:rPr>
        <w:t>一、</w:t>
      </w:r>
      <w:r w:rsidR="00451DC7">
        <w:rPr>
          <w:rFonts w:ascii="宋体" w:hAnsi="宋体" w:hint="eastAsia"/>
          <w:b/>
          <w:sz w:val="24"/>
          <w:szCs w:val="24"/>
        </w:rPr>
        <w:t>采购</w:t>
      </w:r>
      <w:r w:rsidR="00451DC7">
        <w:rPr>
          <w:rFonts w:ascii="宋体" w:hAnsi="宋体"/>
          <w:b/>
          <w:sz w:val="24"/>
          <w:szCs w:val="24"/>
        </w:rPr>
        <w:t>标的清单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851"/>
        <w:gridCol w:w="1533"/>
        <w:gridCol w:w="2852"/>
      </w:tblGrid>
      <w:tr w:rsidR="00451DC7" w:rsidTr="00EA3E85">
        <w:trPr>
          <w:cantSplit/>
          <w:jc w:val="center"/>
        </w:trPr>
        <w:tc>
          <w:tcPr>
            <w:tcW w:w="1152" w:type="dxa"/>
            <w:vAlign w:val="center"/>
          </w:tcPr>
          <w:p w:rsidR="00451DC7" w:rsidRDefault="00451DC7" w:rsidP="00EA3E85">
            <w:pPr>
              <w:spacing w:line="360" w:lineRule="exact"/>
              <w:jc w:val="center"/>
              <w:rPr>
                <w:rFonts w:ascii="宋体" w:hAnsi="宋体"/>
                <w:sz w:val="24"/>
                <w:szCs w:val="24"/>
              </w:rPr>
            </w:pPr>
            <w:r>
              <w:rPr>
                <w:rFonts w:ascii="宋体" w:hAnsi="宋体" w:hint="eastAsia"/>
                <w:sz w:val="24"/>
                <w:szCs w:val="24"/>
              </w:rPr>
              <w:t>采购包</w:t>
            </w:r>
          </w:p>
        </w:tc>
        <w:tc>
          <w:tcPr>
            <w:tcW w:w="851" w:type="dxa"/>
            <w:vAlign w:val="center"/>
          </w:tcPr>
          <w:p w:rsidR="00451DC7" w:rsidRDefault="00451DC7" w:rsidP="00EA3E85">
            <w:pPr>
              <w:spacing w:line="360" w:lineRule="exact"/>
              <w:jc w:val="center"/>
              <w:rPr>
                <w:rFonts w:ascii="宋体" w:hAnsi="宋体"/>
                <w:sz w:val="24"/>
                <w:szCs w:val="24"/>
              </w:rPr>
            </w:pPr>
            <w:r>
              <w:rPr>
                <w:rFonts w:ascii="宋体" w:hAnsi="宋体" w:hint="eastAsia"/>
                <w:sz w:val="24"/>
                <w:szCs w:val="24"/>
              </w:rPr>
              <w:t>序号</w:t>
            </w:r>
          </w:p>
        </w:tc>
        <w:tc>
          <w:tcPr>
            <w:tcW w:w="1533" w:type="dxa"/>
            <w:vAlign w:val="center"/>
          </w:tcPr>
          <w:p w:rsidR="00451DC7" w:rsidRDefault="00451DC7" w:rsidP="00EA3E85">
            <w:pPr>
              <w:spacing w:line="360" w:lineRule="exact"/>
              <w:jc w:val="center"/>
              <w:rPr>
                <w:rFonts w:ascii="宋体" w:hAnsi="宋体"/>
                <w:sz w:val="24"/>
                <w:szCs w:val="24"/>
              </w:rPr>
            </w:pPr>
            <w:r>
              <w:rPr>
                <w:rFonts w:ascii="宋体" w:hAnsi="宋体" w:hint="eastAsia"/>
                <w:sz w:val="24"/>
                <w:szCs w:val="24"/>
              </w:rPr>
              <w:t>采购标的</w:t>
            </w:r>
          </w:p>
        </w:tc>
        <w:tc>
          <w:tcPr>
            <w:tcW w:w="2852" w:type="dxa"/>
            <w:vAlign w:val="center"/>
          </w:tcPr>
          <w:p w:rsidR="00451DC7" w:rsidRDefault="00451DC7" w:rsidP="00EA3E85">
            <w:pPr>
              <w:tabs>
                <w:tab w:val="left" w:pos="2020"/>
              </w:tabs>
              <w:spacing w:line="480" w:lineRule="exact"/>
              <w:jc w:val="center"/>
              <w:rPr>
                <w:rFonts w:ascii="宋体" w:hAnsi="宋体"/>
                <w:sz w:val="24"/>
                <w:szCs w:val="24"/>
              </w:rPr>
            </w:pPr>
            <w:r>
              <w:rPr>
                <w:rFonts w:ascii="宋体" w:hAnsi="宋体" w:hint="eastAsia"/>
                <w:sz w:val="24"/>
                <w:szCs w:val="24"/>
              </w:rPr>
              <w:t>对应中</w:t>
            </w:r>
            <w:r>
              <w:rPr>
                <w:rFonts w:ascii="宋体" w:hAnsi="宋体"/>
                <w:sz w:val="24"/>
                <w:szCs w:val="24"/>
              </w:rPr>
              <w:t>小企业划分标准所属行业</w:t>
            </w:r>
          </w:p>
        </w:tc>
      </w:tr>
      <w:tr w:rsidR="00451DC7" w:rsidTr="00EA3E85">
        <w:trPr>
          <w:cantSplit/>
          <w:trHeight w:val="291"/>
          <w:jc w:val="center"/>
        </w:trPr>
        <w:tc>
          <w:tcPr>
            <w:tcW w:w="1152" w:type="dxa"/>
          </w:tcPr>
          <w:p w:rsidR="00451DC7" w:rsidRDefault="00451DC7" w:rsidP="00EA3E85">
            <w:pPr>
              <w:tabs>
                <w:tab w:val="left" w:pos="2020"/>
              </w:tabs>
              <w:spacing w:line="480" w:lineRule="exact"/>
              <w:jc w:val="center"/>
              <w:rPr>
                <w:rFonts w:ascii="宋体" w:hAnsi="宋体"/>
                <w:sz w:val="24"/>
                <w:szCs w:val="24"/>
              </w:rPr>
            </w:pPr>
            <w:r>
              <w:rPr>
                <w:rFonts w:ascii="宋体" w:hAnsi="宋体"/>
                <w:sz w:val="24"/>
                <w:szCs w:val="24"/>
              </w:rPr>
              <w:t>分包</w:t>
            </w:r>
            <w:r>
              <w:rPr>
                <w:rFonts w:ascii="宋体" w:hAnsi="宋体" w:hint="eastAsia"/>
                <w:sz w:val="24"/>
                <w:szCs w:val="24"/>
              </w:rPr>
              <w:t>1</w:t>
            </w:r>
          </w:p>
        </w:tc>
        <w:tc>
          <w:tcPr>
            <w:tcW w:w="851" w:type="dxa"/>
          </w:tcPr>
          <w:p w:rsidR="00451DC7" w:rsidRDefault="00451DC7" w:rsidP="00EA3E85">
            <w:pPr>
              <w:tabs>
                <w:tab w:val="left" w:pos="2020"/>
              </w:tabs>
              <w:spacing w:line="480" w:lineRule="exact"/>
              <w:jc w:val="center"/>
              <w:rPr>
                <w:rFonts w:ascii="宋体" w:hAnsi="宋体"/>
                <w:sz w:val="24"/>
                <w:szCs w:val="24"/>
              </w:rPr>
            </w:pPr>
            <w:r>
              <w:rPr>
                <w:rFonts w:ascii="宋体" w:hAnsi="宋体" w:hint="eastAsia"/>
                <w:sz w:val="24"/>
                <w:szCs w:val="24"/>
              </w:rPr>
              <w:t>1</w:t>
            </w:r>
          </w:p>
        </w:tc>
        <w:tc>
          <w:tcPr>
            <w:tcW w:w="1533" w:type="dxa"/>
          </w:tcPr>
          <w:p w:rsidR="00451DC7" w:rsidRDefault="00451DC7" w:rsidP="00EA3E85">
            <w:pPr>
              <w:tabs>
                <w:tab w:val="left" w:pos="2020"/>
              </w:tabs>
              <w:spacing w:line="480" w:lineRule="exact"/>
              <w:jc w:val="center"/>
              <w:rPr>
                <w:rFonts w:ascii="宋体" w:hAnsi="宋体"/>
                <w:sz w:val="24"/>
                <w:szCs w:val="24"/>
              </w:rPr>
            </w:pPr>
            <w:r>
              <w:rPr>
                <w:rFonts w:ascii="宋体" w:hAnsi="宋体"/>
                <w:sz w:val="24"/>
                <w:szCs w:val="24"/>
              </w:rPr>
              <w:t>见招标内容</w:t>
            </w:r>
          </w:p>
        </w:tc>
        <w:tc>
          <w:tcPr>
            <w:tcW w:w="2852" w:type="dxa"/>
          </w:tcPr>
          <w:p w:rsidR="00451DC7" w:rsidRDefault="00451DC7" w:rsidP="00EA3E85">
            <w:pPr>
              <w:tabs>
                <w:tab w:val="left" w:pos="2020"/>
              </w:tabs>
              <w:spacing w:line="480" w:lineRule="exact"/>
              <w:jc w:val="center"/>
              <w:rPr>
                <w:rFonts w:ascii="宋体" w:hAnsi="宋体"/>
                <w:sz w:val="24"/>
                <w:szCs w:val="24"/>
              </w:rPr>
            </w:pPr>
            <w:r>
              <w:rPr>
                <w:rFonts w:ascii="宋体" w:hAnsi="宋体"/>
                <w:sz w:val="24"/>
                <w:szCs w:val="24"/>
              </w:rPr>
              <w:t>其他未列明行业</w:t>
            </w:r>
          </w:p>
        </w:tc>
      </w:tr>
      <w:tr w:rsidR="00451DC7" w:rsidTr="00EA3E85">
        <w:trPr>
          <w:cantSplit/>
          <w:trHeight w:val="235"/>
          <w:jc w:val="center"/>
        </w:trPr>
        <w:tc>
          <w:tcPr>
            <w:tcW w:w="1152" w:type="dxa"/>
          </w:tcPr>
          <w:p w:rsidR="00451DC7" w:rsidRDefault="00451DC7" w:rsidP="00EA3E85">
            <w:pPr>
              <w:spacing w:line="480" w:lineRule="exact"/>
              <w:jc w:val="center"/>
              <w:rPr>
                <w:rFonts w:ascii="宋体" w:hAnsi="宋体"/>
                <w:sz w:val="24"/>
                <w:szCs w:val="24"/>
              </w:rPr>
            </w:pPr>
            <w:r>
              <w:rPr>
                <w:rFonts w:ascii="宋体" w:hAnsi="宋体"/>
                <w:sz w:val="24"/>
                <w:szCs w:val="24"/>
              </w:rPr>
              <w:t>分包</w:t>
            </w:r>
            <w:r>
              <w:rPr>
                <w:rFonts w:ascii="宋体" w:hAnsi="宋体" w:hint="eastAsia"/>
                <w:sz w:val="24"/>
                <w:szCs w:val="24"/>
              </w:rPr>
              <w:t>2</w:t>
            </w:r>
          </w:p>
        </w:tc>
        <w:tc>
          <w:tcPr>
            <w:tcW w:w="851" w:type="dxa"/>
          </w:tcPr>
          <w:p w:rsidR="00451DC7" w:rsidRDefault="00451DC7" w:rsidP="00EA3E85">
            <w:pPr>
              <w:spacing w:line="480" w:lineRule="exact"/>
              <w:jc w:val="center"/>
              <w:rPr>
                <w:rFonts w:ascii="宋体" w:hAnsi="宋体"/>
                <w:sz w:val="24"/>
                <w:szCs w:val="24"/>
              </w:rPr>
            </w:pPr>
            <w:r>
              <w:rPr>
                <w:rFonts w:ascii="宋体" w:hAnsi="宋体" w:hint="eastAsia"/>
                <w:sz w:val="24"/>
                <w:szCs w:val="24"/>
              </w:rPr>
              <w:t>2</w:t>
            </w:r>
          </w:p>
        </w:tc>
        <w:tc>
          <w:tcPr>
            <w:tcW w:w="1533" w:type="dxa"/>
          </w:tcPr>
          <w:p w:rsidR="00451DC7" w:rsidRDefault="00451DC7" w:rsidP="00EA3E85">
            <w:pPr>
              <w:tabs>
                <w:tab w:val="left" w:pos="2020"/>
              </w:tabs>
              <w:spacing w:line="480" w:lineRule="exact"/>
              <w:jc w:val="center"/>
              <w:rPr>
                <w:rFonts w:ascii="宋体" w:hAnsi="宋体"/>
                <w:sz w:val="24"/>
                <w:szCs w:val="24"/>
              </w:rPr>
            </w:pPr>
            <w:r>
              <w:rPr>
                <w:rFonts w:ascii="宋体" w:hAnsi="宋体"/>
                <w:sz w:val="24"/>
                <w:szCs w:val="24"/>
              </w:rPr>
              <w:t>见招标内容</w:t>
            </w:r>
          </w:p>
        </w:tc>
        <w:tc>
          <w:tcPr>
            <w:tcW w:w="2852" w:type="dxa"/>
          </w:tcPr>
          <w:p w:rsidR="00451DC7" w:rsidRDefault="00451DC7" w:rsidP="00EA3E85">
            <w:pPr>
              <w:tabs>
                <w:tab w:val="left" w:pos="2020"/>
              </w:tabs>
              <w:spacing w:line="480" w:lineRule="exact"/>
              <w:jc w:val="center"/>
              <w:rPr>
                <w:rFonts w:ascii="宋体" w:hAnsi="宋体"/>
                <w:sz w:val="24"/>
                <w:szCs w:val="24"/>
              </w:rPr>
            </w:pPr>
            <w:r>
              <w:rPr>
                <w:rFonts w:ascii="宋体" w:hAnsi="宋体"/>
                <w:sz w:val="24"/>
                <w:szCs w:val="24"/>
              </w:rPr>
              <w:t>其他未列明行业</w:t>
            </w:r>
          </w:p>
        </w:tc>
      </w:tr>
      <w:tr w:rsidR="00451DC7" w:rsidTr="00EA3E85">
        <w:trPr>
          <w:cantSplit/>
          <w:trHeight w:val="222"/>
          <w:jc w:val="center"/>
        </w:trPr>
        <w:tc>
          <w:tcPr>
            <w:tcW w:w="1152" w:type="dxa"/>
          </w:tcPr>
          <w:p w:rsidR="00451DC7" w:rsidRDefault="00451DC7" w:rsidP="00EA3E85">
            <w:pPr>
              <w:spacing w:line="480" w:lineRule="exact"/>
              <w:jc w:val="center"/>
              <w:rPr>
                <w:rFonts w:ascii="宋体" w:hAnsi="宋体"/>
                <w:sz w:val="24"/>
                <w:szCs w:val="24"/>
              </w:rPr>
            </w:pPr>
            <w:r>
              <w:rPr>
                <w:rFonts w:ascii="宋体" w:hAnsi="宋体"/>
                <w:sz w:val="24"/>
                <w:szCs w:val="24"/>
              </w:rPr>
              <w:t>分包</w:t>
            </w:r>
            <w:r>
              <w:rPr>
                <w:rFonts w:ascii="宋体" w:hAnsi="宋体" w:hint="eastAsia"/>
                <w:sz w:val="24"/>
                <w:szCs w:val="24"/>
              </w:rPr>
              <w:t>3</w:t>
            </w:r>
          </w:p>
        </w:tc>
        <w:tc>
          <w:tcPr>
            <w:tcW w:w="851" w:type="dxa"/>
          </w:tcPr>
          <w:p w:rsidR="00451DC7" w:rsidRDefault="00451DC7" w:rsidP="00EA3E85">
            <w:pPr>
              <w:spacing w:line="480" w:lineRule="exact"/>
              <w:jc w:val="center"/>
              <w:rPr>
                <w:rFonts w:ascii="宋体" w:hAnsi="宋体"/>
                <w:sz w:val="24"/>
                <w:szCs w:val="24"/>
              </w:rPr>
            </w:pPr>
            <w:r>
              <w:rPr>
                <w:rFonts w:ascii="宋体" w:hAnsi="宋体" w:hint="eastAsia"/>
                <w:sz w:val="24"/>
                <w:szCs w:val="24"/>
              </w:rPr>
              <w:t>3</w:t>
            </w:r>
          </w:p>
        </w:tc>
        <w:tc>
          <w:tcPr>
            <w:tcW w:w="1533" w:type="dxa"/>
          </w:tcPr>
          <w:p w:rsidR="00451DC7" w:rsidRDefault="00451DC7" w:rsidP="00EA3E85">
            <w:pPr>
              <w:tabs>
                <w:tab w:val="left" w:pos="2020"/>
              </w:tabs>
              <w:spacing w:line="480" w:lineRule="exact"/>
              <w:jc w:val="center"/>
              <w:rPr>
                <w:rFonts w:ascii="宋体" w:hAnsi="宋体"/>
                <w:sz w:val="24"/>
                <w:szCs w:val="24"/>
              </w:rPr>
            </w:pPr>
            <w:r>
              <w:rPr>
                <w:rFonts w:ascii="宋体" w:hAnsi="宋体"/>
                <w:sz w:val="24"/>
                <w:szCs w:val="24"/>
              </w:rPr>
              <w:t>见招标内容</w:t>
            </w:r>
          </w:p>
        </w:tc>
        <w:tc>
          <w:tcPr>
            <w:tcW w:w="2852" w:type="dxa"/>
          </w:tcPr>
          <w:p w:rsidR="00451DC7" w:rsidRDefault="00451DC7" w:rsidP="00EA3E85">
            <w:pPr>
              <w:tabs>
                <w:tab w:val="left" w:pos="2020"/>
              </w:tabs>
              <w:spacing w:line="480" w:lineRule="exact"/>
              <w:jc w:val="center"/>
              <w:rPr>
                <w:rFonts w:ascii="宋体" w:hAnsi="宋体"/>
                <w:sz w:val="24"/>
                <w:szCs w:val="24"/>
              </w:rPr>
            </w:pPr>
            <w:r>
              <w:rPr>
                <w:rFonts w:ascii="宋体" w:hAnsi="宋体"/>
                <w:sz w:val="24"/>
                <w:szCs w:val="24"/>
              </w:rPr>
              <w:t>其他未列明行业</w:t>
            </w:r>
          </w:p>
        </w:tc>
      </w:tr>
    </w:tbl>
    <w:p w:rsidR="00451DC7" w:rsidRDefault="002E6DB8" w:rsidP="00451DC7">
      <w:pPr>
        <w:pStyle w:val="Normal20"/>
        <w:spacing w:line="360" w:lineRule="auto"/>
        <w:ind w:firstLine="602"/>
        <w:rPr>
          <w:rFonts w:ascii="Calibri" w:eastAsia="宋体" w:hAnsi="Calibri"/>
        </w:rPr>
      </w:pPr>
      <w:r>
        <w:rPr>
          <w:rFonts w:ascii="Calibri" w:eastAsia="宋体" w:hAnsi="Calibri" w:hint="eastAsia"/>
          <w:sz w:val="30"/>
          <w:szCs w:val="30"/>
        </w:rPr>
        <w:t>二</w:t>
      </w:r>
      <w:r w:rsidR="00451DC7">
        <w:rPr>
          <w:rFonts w:ascii="Calibri" w:eastAsia="宋体" w:hAnsi="Calibri" w:hint="eastAsia"/>
          <w:sz w:val="30"/>
          <w:szCs w:val="30"/>
        </w:rPr>
        <w:t>、项目概况</w:t>
      </w:r>
    </w:p>
    <w:p w:rsidR="009B2230" w:rsidRPr="00314AD1" w:rsidRDefault="00451DC7" w:rsidP="00CF1F11">
      <w:pPr>
        <w:pStyle w:val="p1700"/>
        <w:widowControl w:val="0"/>
        <w:spacing w:before="0" w:beforeAutospacing="0" w:after="0" w:afterAutospacing="0" w:line="400" w:lineRule="exact"/>
        <w:ind w:firstLineChars="200" w:firstLine="420"/>
        <w:jc w:val="both"/>
        <w:rPr>
          <w:rFonts w:eastAsia="宋体"/>
          <w:b/>
          <w:sz w:val="21"/>
          <w:szCs w:val="21"/>
        </w:rPr>
      </w:pPr>
      <w:r>
        <w:rPr>
          <w:rFonts w:eastAsia="宋体"/>
          <w:sz w:val="21"/>
          <w:szCs w:val="21"/>
        </w:rPr>
        <w:t>1</w:t>
      </w:r>
      <w:r>
        <w:rPr>
          <w:rFonts w:eastAsia="宋体" w:hint="eastAsia"/>
          <w:sz w:val="21"/>
          <w:szCs w:val="21"/>
        </w:rPr>
        <w:t>、招标内容：</w:t>
      </w:r>
      <w:r w:rsidR="002E6DB8" w:rsidRPr="002E6DB8">
        <w:rPr>
          <w:rFonts w:eastAsia="宋体" w:hint="eastAsia"/>
          <w:sz w:val="21"/>
          <w:szCs w:val="21"/>
        </w:rPr>
        <w:t>第二轮土地承包到期后再延纳30年试点测绘等项目招标。招目主要服务内容包括:收集整理作业区域范围内行政划分、行政区划名称、最新的行政区划代码、影像图和既有的农村土地承包经营权数据库、汇交库，村居各类调查表、统计表等，进行数据</w:t>
      </w:r>
      <w:r w:rsidR="00FC6017">
        <w:rPr>
          <w:rFonts w:eastAsia="宋体" w:hint="eastAsia"/>
          <w:sz w:val="21"/>
          <w:szCs w:val="21"/>
        </w:rPr>
        <w:t>录入</w:t>
      </w:r>
      <w:r w:rsidR="002E6DB8" w:rsidRPr="002E6DB8">
        <w:rPr>
          <w:rFonts w:eastAsia="宋体" w:hint="eastAsia"/>
          <w:sz w:val="21"/>
          <w:szCs w:val="21"/>
        </w:rPr>
        <w:t>、成果导出、修正;材料打印(承包方和承包地块调查表、地块示意图（3份）和各小组地块图):进行承包地块测绘和各项数据汇交，最终成果必须符合农业部要求</w:t>
      </w:r>
      <w:r>
        <w:rPr>
          <w:rFonts w:eastAsia="宋体" w:hint="eastAsia"/>
          <w:sz w:val="21"/>
          <w:szCs w:val="21"/>
        </w:rPr>
        <w:t>。</w:t>
      </w:r>
    </w:p>
    <w:p w:rsidR="002E6DB8" w:rsidRDefault="002E6DB8" w:rsidP="002E6DB8">
      <w:pPr>
        <w:pStyle w:val="Normal20"/>
        <w:spacing w:line="360" w:lineRule="auto"/>
        <w:ind w:firstLine="420"/>
        <w:rPr>
          <w:rFonts w:ascii="宋体" w:eastAsia="宋体" w:hAnsi="宋体"/>
          <w:b w:val="0"/>
          <w:sz w:val="21"/>
          <w:szCs w:val="21"/>
        </w:rPr>
      </w:pPr>
      <w:r>
        <w:rPr>
          <w:rFonts w:ascii="宋体" w:eastAsia="宋体" w:hAnsi="宋体" w:hint="eastAsia"/>
          <w:b w:val="0"/>
          <w:sz w:val="21"/>
          <w:szCs w:val="21"/>
        </w:rPr>
        <w:t>采购分包1：包括双沟镇、天岗湖乡、车门乡、魏营镇、瑶沟乡、梅花镇6个乡镇，二轮确权共计</w:t>
      </w:r>
      <w:bookmarkStart w:id="5" w:name="OLE_LINK1"/>
      <w:bookmarkStart w:id="6" w:name="OLE_LINK2"/>
      <w:r>
        <w:rPr>
          <w:rFonts w:ascii="宋体" w:eastAsia="宋体" w:hAnsi="宋体" w:hint="eastAsia"/>
          <w:b w:val="0"/>
          <w:sz w:val="21"/>
          <w:szCs w:val="21"/>
        </w:rPr>
        <w:t>53866</w:t>
      </w:r>
      <w:bookmarkEnd w:id="5"/>
      <w:bookmarkEnd w:id="6"/>
      <w:r>
        <w:rPr>
          <w:rFonts w:ascii="宋体" w:eastAsia="宋体" w:hAnsi="宋体" w:hint="eastAsia"/>
          <w:b w:val="0"/>
          <w:sz w:val="21"/>
          <w:szCs w:val="21"/>
        </w:rPr>
        <w:t xml:space="preserve"> 户，二轮承包确权面积449816.9亩，延包中因并户、分户和征用修正面积约占确权面积的10%，延包户数增加约占确权户数8%。</w:t>
      </w:r>
    </w:p>
    <w:p w:rsidR="002E6DB8" w:rsidRDefault="002E6DB8" w:rsidP="002E6DB8">
      <w:pPr>
        <w:pStyle w:val="Normal20"/>
        <w:spacing w:line="360" w:lineRule="auto"/>
        <w:ind w:firstLine="420"/>
        <w:rPr>
          <w:rFonts w:ascii="宋体" w:eastAsia="宋体" w:hAnsi="宋体"/>
          <w:b w:val="0"/>
          <w:sz w:val="21"/>
          <w:szCs w:val="21"/>
        </w:rPr>
      </w:pPr>
      <w:r>
        <w:rPr>
          <w:rFonts w:ascii="宋体" w:eastAsia="宋体" w:hAnsi="宋体" w:hint="eastAsia"/>
          <w:b w:val="0"/>
          <w:sz w:val="21"/>
          <w:szCs w:val="21"/>
        </w:rPr>
        <w:t>采购分包2：包括为界集镇、朱湖镇、金锁镇、归仁镇4个乡镇，二轮确权共计57638户，二轮确权面积 463820.42亩，延包中因并户、分户和征用修正面积约占确权面积10%， 延包户数增加约占确权户数8%。</w:t>
      </w:r>
    </w:p>
    <w:p w:rsidR="002E6DB8" w:rsidRDefault="002E6DB8" w:rsidP="002E6DB8">
      <w:pPr>
        <w:pStyle w:val="Normal20"/>
        <w:spacing w:line="360" w:lineRule="auto"/>
        <w:ind w:firstLine="420"/>
        <w:rPr>
          <w:rFonts w:ascii="宋体" w:eastAsia="宋体" w:hAnsi="宋体"/>
          <w:b w:val="0"/>
          <w:sz w:val="21"/>
          <w:szCs w:val="21"/>
        </w:rPr>
      </w:pPr>
      <w:bookmarkStart w:id="7" w:name="OLE_LINK13"/>
      <w:r>
        <w:rPr>
          <w:rFonts w:ascii="宋体" w:eastAsia="宋体" w:hAnsi="宋体" w:hint="eastAsia"/>
          <w:b w:val="0"/>
          <w:sz w:val="21"/>
          <w:szCs w:val="21"/>
        </w:rPr>
        <w:t>采购分包3：包括龙集镇、半城镇、孙园镇、临淮镇、青阳街道、大楼街道、重岗街道7个乡镇街道，二轮确权共计52810户，二轮承包确权面积498240.59亩，延包中因并户、分户和征用修正面积约占确权面积10%，延包户数增加约占确权户数8%。</w:t>
      </w:r>
      <w:bookmarkEnd w:id="7"/>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2、付款方式：</w:t>
      </w:r>
    </w:p>
    <w:p w:rsidR="002E6DB8" w:rsidRDefault="002E6DB8" w:rsidP="002E6DB8">
      <w:pPr>
        <w:pStyle w:val="Normal20"/>
        <w:spacing w:line="360" w:lineRule="auto"/>
        <w:ind w:firstLine="420"/>
        <w:rPr>
          <w:rFonts w:ascii="宋体" w:eastAsia="宋体" w:hAnsi="宋体"/>
          <w:b w:val="0"/>
          <w:sz w:val="21"/>
          <w:szCs w:val="21"/>
        </w:rPr>
      </w:pPr>
      <w:r>
        <w:rPr>
          <w:rFonts w:ascii="宋体" w:eastAsia="宋体" w:hAnsi="宋体" w:hint="eastAsia"/>
          <w:b w:val="0"/>
          <w:sz w:val="21"/>
          <w:szCs w:val="21"/>
        </w:rPr>
        <w:t>预付款：合同签订后收到中标供应商发票10个工作日内预付合同价款的10%。</w:t>
      </w:r>
    </w:p>
    <w:p w:rsidR="002E6DB8" w:rsidRPr="0013740F" w:rsidRDefault="002E6DB8" w:rsidP="002E6DB8">
      <w:pPr>
        <w:pStyle w:val="Normal20"/>
        <w:spacing w:line="360" w:lineRule="auto"/>
        <w:ind w:firstLine="420"/>
        <w:rPr>
          <w:rFonts w:ascii="宋体" w:eastAsia="宋体" w:hAnsi="宋体"/>
          <w:b w:val="0"/>
          <w:sz w:val="21"/>
          <w:szCs w:val="21"/>
        </w:rPr>
      </w:pPr>
      <w:r>
        <w:rPr>
          <w:rFonts w:ascii="宋体" w:eastAsia="宋体" w:hAnsi="宋体" w:hint="eastAsia"/>
          <w:b w:val="0"/>
          <w:sz w:val="21"/>
          <w:szCs w:val="21"/>
        </w:rPr>
        <w:t>进度款：全面完成工作，经县镇两级初步审核合格后付至合同总价款60%，成果经省厅和农</w:t>
      </w:r>
      <w:r w:rsidRPr="0013740F">
        <w:rPr>
          <w:rFonts w:ascii="宋体" w:eastAsia="宋体" w:hAnsi="宋体" w:hint="eastAsia"/>
          <w:b w:val="0"/>
          <w:sz w:val="21"/>
          <w:szCs w:val="21"/>
        </w:rPr>
        <w:t>业部验收合格后付至合同总价款100%。</w:t>
      </w:r>
    </w:p>
    <w:p w:rsidR="0078375B" w:rsidRPr="0078375B" w:rsidRDefault="002E6DB8" w:rsidP="002E6DB8">
      <w:pPr>
        <w:pStyle w:val="Normal20"/>
        <w:spacing w:line="360" w:lineRule="auto"/>
        <w:ind w:firstLine="420"/>
        <w:rPr>
          <w:rFonts w:ascii="宋体" w:eastAsia="宋体" w:hAnsi="宋体"/>
          <w:b w:val="0"/>
          <w:sz w:val="21"/>
          <w:szCs w:val="21"/>
        </w:rPr>
      </w:pPr>
      <w:r w:rsidRPr="0013740F">
        <w:rPr>
          <w:rFonts w:ascii="宋体" w:eastAsia="宋体" w:hAnsi="宋体" w:hint="eastAsia"/>
          <w:b w:val="0"/>
          <w:sz w:val="21"/>
          <w:szCs w:val="21"/>
        </w:rPr>
        <w:t>备注：</w:t>
      </w:r>
      <w:r w:rsidR="0078375B" w:rsidRPr="0013740F">
        <w:rPr>
          <w:rFonts w:ascii="宋体" w:eastAsia="宋体" w:hAnsi="宋体" w:hint="eastAsia"/>
          <w:b w:val="0"/>
          <w:sz w:val="21"/>
          <w:szCs w:val="21"/>
        </w:rPr>
        <w:t>1.</w:t>
      </w:r>
      <w:r w:rsidR="0078375B" w:rsidRPr="0013740F">
        <w:rPr>
          <w:rFonts w:ascii="宋体" w:eastAsia="宋体" w:hAnsi="宋体" w:cs="宋体" w:hint="eastAsia"/>
          <w:b w:val="0"/>
          <w:sz w:val="21"/>
          <w:szCs w:val="21"/>
        </w:rPr>
        <w:t xml:space="preserve"> 款项结算方式：</w:t>
      </w:r>
      <w:r w:rsidR="00C73B3E">
        <w:rPr>
          <w:rFonts w:ascii="宋体" w:eastAsia="宋体" w:hAnsi="宋体" w:cs="宋体" w:hint="eastAsia"/>
          <w:b w:val="0"/>
          <w:sz w:val="21"/>
          <w:szCs w:val="21"/>
        </w:rPr>
        <w:t>【</w:t>
      </w:r>
      <w:r w:rsidR="0078375B" w:rsidRPr="0013740F">
        <w:rPr>
          <w:rFonts w:ascii="宋体" w:eastAsia="宋体" w:hAnsi="宋体" w:cs="宋体" w:hint="eastAsia"/>
          <w:b w:val="0"/>
          <w:sz w:val="21"/>
          <w:szCs w:val="21"/>
        </w:rPr>
        <w:t>（二轮确权共计原有户数*原有户数基本上再增加8%（1.08）</w:t>
      </w:r>
      <w:r w:rsidR="00277077" w:rsidRPr="0013740F">
        <w:rPr>
          <w:rFonts w:ascii="宋体" w:eastAsia="宋体" w:hAnsi="宋体" w:cs="宋体" w:hint="eastAsia"/>
          <w:b w:val="0"/>
          <w:sz w:val="21"/>
          <w:szCs w:val="21"/>
        </w:rPr>
        <w:t>）</w:t>
      </w:r>
      <w:r w:rsidR="0078375B" w:rsidRPr="0013740F">
        <w:rPr>
          <w:rFonts w:ascii="宋体" w:eastAsia="宋体" w:hAnsi="宋体" w:cs="宋体" w:hint="eastAsia"/>
          <w:b w:val="0"/>
          <w:sz w:val="21"/>
          <w:szCs w:val="21"/>
        </w:rPr>
        <w:t>*</w:t>
      </w:r>
      <w:r w:rsidR="00277077" w:rsidRPr="0013740F">
        <w:rPr>
          <w:rFonts w:ascii="宋体" w:eastAsia="宋体" w:hAnsi="宋体" w:cs="宋体" w:hint="eastAsia"/>
          <w:b w:val="0"/>
          <w:sz w:val="21"/>
          <w:szCs w:val="21"/>
        </w:rPr>
        <w:t>每户单价（元）</w:t>
      </w:r>
      <w:r w:rsidR="00C73B3E">
        <w:rPr>
          <w:rFonts w:ascii="宋体" w:eastAsia="宋体" w:hAnsi="宋体" w:cs="宋体" w:hint="eastAsia"/>
          <w:b w:val="0"/>
          <w:sz w:val="21"/>
          <w:szCs w:val="21"/>
        </w:rPr>
        <w:t>】</w:t>
      </w:r>
      <w:r w:rsidR="0078375B" w:rsidRPr="0013740F">
        <w:rPr>
          <w:rFonts w:ascii="宋体" w:eastAsia="宋体" w:hAnsi="宋体" w:cs="宋体" w:hint="eastAsia"/>
          <w:b w:val="0"/>
          <w:sz w:val="21"/>
          <w:szCs w:val="21"/>
        </w:rPr>
        <w:t>+</w:t>
      </w:r>
      <w:r w:rsidR="00C73B3E">
        <w:rPr>
          <w:rFonts w:ascii="宋体" w:eastAsia="宋体" w:hAnsi="宋体" w:cs="宋体" w:hint="eastAsia"/>
          <w:b w:val="0"/>
          <w:sz w:val="21"/>
          <w:szCs w:val="21"/>
        </w:rPr>
        <w:t>【</w:t>
      </w:r>
      <w:r w:rsidR="0078375B" w:rsidRPr="0013740F">
        <w:rPr>
          <w:rFonts w:ascii="宋体" w:eastAsia="宋体" w:hAnsi="宋体" w:cs="宋体" w:hint="eastAsia"/>
          <w:b w:val="0"/>
          <w:sz w:val="21"/>
          <w:szCs w:val="21"/>
        </w:rPr>
        <w:t>二轮承包确权面积亩数*10%*</w:t>
      </w:r>
      <w:r w:rsidR="00277077" w:rsidRPr="0013740F">
        <w:rPr>
          <w:rFonts w:ascii="宋体" w:eastAsia="宋体" w:hAnsi="宋体" w:cs="宋体" w:hint="eastAsia"/>
          <w:b w:val="0"/>
          <w:sz w:val="21"/>
          <w:szCs w:val="21"/>
        </w:rPr>
        <w:t>每亩单价（元）</w:t>
      </w:r>
      <w:r w:rsidR="00C73B3E">
        <w:rPr>
          <w:rFonts w:ascii="宋体" w:eastAsia="宋体" w:hAnsi="宋体" w:cs="宋体" w:hint="eastAsia"/>
          <w:b w:val="0"/>
          <w:sz w:val="21"/>
          <w:szCs w:val="21"/>
        </w:rPr>
        <w:t>】</w:t>
      </w:r>
      <w:r w:rsidR="0078375B" w:rsidRPr="0013740F">
        <w:rPr>
          <w:rFonts w:ascii="宋体" w:eastAsia="宋体" w:hAnsi="宋体" w:cs="宋体" w:hint="eastAsia"/>
          <w:b w:val="0"/>
          <w:sz w:val="21"/>
          <w:szCs w:val="21"/>
        </w:rPr>
        <w:t>计算。</w:t>
      </w:r>
    </w:p>
    <w:p w:rsidR="002E6DB8" w:rsidRDefault="0078375B" w:rsidP="002E6DB8">
      <w:pPr>
        <w:pStyle w:val="Normal20"/>
        <w:spacing w:line="360" w:lineRule="auto"/>
        <w:ind w:firstLine="420"/>
        <w:rPr>
          <w:rFonts w:ascii="宋体" w:eastAsia="宋体" w:hAnsi="宋体"/>
          <w:b w:val="0"/>
          <w:sz w:val="21"/>
          <w:szCs w:val="21"/>
        </w:rPr>
      </w:pPr>
      <w:r>
        <w:rPr>
          <w:rFonts w:ascii="宋体" w:eastAsia="宋体" w:hAnsi="宋体" w:hint="eastAsia"/>
          <w:b w:val="0"/>
          <w:sz w:val="21"/>
          <w:szCs w:val="21"/>
        </w:rPr>
        <w:t>2.</w:t>
      </w:r>
      <w:r w:rsidR="002E6DB8">
        <w:rPr>
          <w:rFonts w:ascii="宋体" w:eastAsia="宋体" w:hAnsi="宋体" w:hint="eastAsia"/>
          <w:b w:val="0"/>
          <w:sz w:val="21"/>
          <w:szCs w:val="21"/>
        </w:rPr>
        <w:t>本项目测绘面积和户数据以实际发生为准。</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b w:val="0"/>
          <w:sz w:val="21"/>
          <w:szCs w:val="21"/>
        </w:rPr>
        <w:lastRenderedPageBreak/>
        <w:t>可以采用数字人民币支付。</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b w:val="0"/>
          <w:sz w:val="21"/>
          <w:szCs w:val="21"/>
        </w:rPr>
        <w:t>注：在签订合同时，中标人明确表示无需预付款或者主动要求降低预付款比例的，采购人可不适用前述规定。</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b w:val="0"/>
          <w:sz w:val="21"/>
          <w:szCs w:val="21"/>
        </w:rPr>
        <w:t>3</w:t>
      </w:r>
      <w:r>
        <w:rPr>
          <w:rFonts w:ascii="宋体" w:eastAsia="宋体" w:hAnsi="宋体" w:cs="宋体" w:hint="eastAsia"/>
          <w:b w:val="0"/>
          <w:sz w:val="21"/>
          <w:szCs w:val="21"/>
        </w:rPr>
        <w:t>、（一）合同履行期限：70日历天（自采购合同签订之日起）。</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（二）质量要求：项目成果需符合国家、省、市行业相关标准和农业农村部要求，并根据要求通过甲方组织的专家组验收</w:t>
      </w:r>
      <w:r>
        <w:rPr>
          <w:rFonts w:ascii="宋体" w:eastAsia="宋体" w:hAnsi="宋体" w:cs="宋体"/>
          <w:b w:val="0"/>
          <w:sz w:val="21"/>
          <w:szCs w:val="21"/>
        </w:rPr>
        <w:t>。</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（三）项目地点：采购人指定地点</w:t>
      </w:r>
      <w:r w:rsidR="000814C4">
        <w:rPr>
          <w:rFonts w:ascii="宋体" w:eastAsia="宋体" w:hAnsi="宋体" w:cs="宋体" w:hint="eastAsia"/>
          <w:b w:val="0"/>
          <w:sz w:val="21"/>
          <w:szCs w:val="21"/>
        </w:rPr>
        <w:t>。</w:t>
      </w:r>
    </w:p>
    <w:p w:rsidR="002E6DB8" w:rsidRPr="002E6DB8" w:rsidRDefault="002E6DB8" w:rsidP="002E6DB8">
      <w:pPr>
        <w:pStyle w:val="Normal20"/>
        <w:spacing w:line="360" w:lineRule="auto"/>
        <w:ind w:firstLine="602"/>
        <w:rPr>
          <w:rFonts w:ascii="Calibri" w:eastAsia="宋体" w:hAnsi="Calibri"/>
          <w:sz w:val="30"/>
          <w:szCs w:val="30"/>
        </w:rPr>
      </w:pPr>
      <w:r w:rsidRPr="002E6DB8">
        <w:rPr>
          <w:rFonts w:ascii="Calibri" w:eastAsia="宋体" w:hAnsi="Calibri" w:hint="eastAsia"/>
          <w:sz w:val="30"/>
          <w:szCs w:val="30"/>
        </w:rPr>
        <w:t>三</w:t>
      </w:r>
      <w:r w:rsidRPr="002E6DB8">
        <w:rPr>
          <w:rFonts w:ascii="Calibri" w:eastAsia="宋体" w:hAnsi="Calibri"/>
          <w:sz w:val="30"/>
          <w:szCs w:val="30"/>
        </w:rPr>
        <w:t>、</w:t>
      </w:r>
      <w:r w:rsidRPr="002E6DB8">
        <w:rPr>
          <w:rFonts w:ascii="Calibri" w:eastAsia="宋体" w:hAnsi="Calibri" w:hint="eastAsia"/>
          <w:sz w:val="30"/>
          <w:szCs w:val="30"/>
        </w:rPr>
        <w:t>服务内容</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1、信息核对</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根据乡镇提供的摸底调查情况，做好直接输出成果、内业图形属性修改后输出成果、需外业实测的数据梳理和信息核对工作。</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2、实测指界</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根据实际情况可采用室内判图法、野外调绘法、现场实测法等多种指界方法在调查底图上画出地块，填写预编码，同时在相关统计表中填写对应于图上的预编码及土地利用类型，等级，备注等其他信息。需要进行土地承包经营权调查测绘的，形成的调查测绘成果需要同时符合承包经营合同签订和不动产登记的要求。</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3、数据修改入库</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根据外业指界、实测情况，进行内业图形修改、属性修改，将外业填写的统计表中的编号及其他信息填写到数据表中，并以地块编码为连接字段，将地块名称，权利人名称，合同面积，地类，等级等属性进行关联，将调查的地块与户籍信息关联挂接，补全界址点，界址线信息，建立形成完整的数据库。沿用上一轮确权登记成果续签承包经营合同、不需进行调查测绘的，形成的数据库成果需满足转换为不动产登记数据库的要求。</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4、资料输出打印</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根据最终的数据库成果，从系统中输出登记簿、承包方调查表、承包地块表、公示结果归户表、承包合同、地块示意图等图件表格成果，并按照要求份数进行打印（农村土地承包经营权确权承包方调查表、承包地块表和地块示意图（3份）等）。</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测绘及各项材料成果符合农业部要求，并提交上级验收通过。</w:t>
      </w:r>
    </w:p>
    <w:p w:rsidR="002E6DB8" w:rsidRPr="002E6DB8" w:rsidRDefault="002E6DB8" w:rsidP="002E6DB8">
      <w:pPr>
        <w:pStyle w:val="Normal20"/>
        <w:spacing w:line="360" w:lineRule="auto"/>
        <w:ind w:firstLine="602"/>
        <w:rPr>
          <w:rFonts w:ascii="Calibri" w:eastAsia="宋体" w:hAnsi="Calibri"/>
          <w:sz w:val="30"/>
          <w:szCs w:val="30"/>
        </w:rPr>
      </w:pPr>
      <w:r w:rsidRPr="002E6DB8">
        <w:rPr>
          <w:rFonts w:ascii="Calibri" w:eastAsia="宋体" w:hAnsi="Calibri" w:hint="eastAsia"/>
          <w:sz w:val="30"/>
          <w:szCs w:val="30"/>
        </w:rPr>
        <w:t>四、服务要求</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（一）坐标系统</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lastRenderedPageBreak/>
        <w:t>采用2000国家大地坐标系（China Geodetic Coordinate System 2000,CGCS2000）。CGCS2000 实施条件不具备的地区可采用1980西安坐标系，但应与CGCS2000 进行联测或建立转换关系。</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（二）高程系统</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采用1985国家高程基准。</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（三）比例尺</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调查基本比例尺为1:2000。</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（四）分幅和编号</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1、 栅格数据分幅与编号。1:500、1:1000和1:2000比例尺的工作底图、调查草图、地 块分布图及其他栅格数据采用正方形分幅（图幅尺寸：50cm×50cm）。 图幅编号按 图廓西南角平面坐标公里数编制，x坐标在前， y 坐标在后，中间以短横线连接。 1:500比例尺取至0.01公里，1:1000和1:2000比例尺取至0.1公里。1:5000比例尺 的图件分幅和编号按照GB/T 13989执行。</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2、矢量数据分幅与编号。承包地块、地物等矢量数据以县级行政区为单位进行分幅， 图幅命名方式按照NY/T   XXXXX （农村土地承包经营权确权登记数据库规范）执 行。</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（五）地图投影</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统一选择高斯一克吕格投影，采用标准的3°分带平面直角坐标系统。确有必要时，可按1.5°分带或任意中央经线的3°分带。</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（六）计量单位</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1、 长度单位采用米 (m)，小数点后保留两位有效数字。</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2、面积单位采用平方米 (m²)，小数点后保留两位有效数字。统计汇总时，面积单 位采用公顷 (hm²),  小数点后保留两位有效数字。将亩（mu） 作为辅助面积单位， 小数点后保留两位有效数字。</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（七）其他要求</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1、保密要求</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（1）成交单位须在合同中进行责任约定；成交单位在工作期间必须遵守业主方的相关保密制度；</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（2）工作人员不得以任何形式将各项档案资料带出指定工作现场，不得以任何形式进行泄漏、传播；不得无故查看及讨论档案内容。</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（3）各种档案文件，不得丢失、泄密、损坏。</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lastRenderedPageBreak/>
        <w:t>★2、为确保本项目安全、快速、高质量地完成，核查单位需组建项目组并入驻项目地，全面负责本项目的实施和监督。项目组设置项目负责人1名,项目技术负责人1名项目，项目组其他人员至少6名。供应商要理解项目背景及政策，具有资料收集、测绘调查、材料、数据汇交方案，工作重难点应对方案，技术路线方案，质量、进度控制方案，安全保密保障体系、应急方案、售后服务、服务保障措施方案。（提供项目成员一览表，中标后不随意变更项目组成员。如需变更须获得采购人许可。）</w:t>
      </w:r>
    </w:p>
    <w:p w:rsidR="002E6DB8" w:rsidRPr="002E6DB8" w:rsidRDefault="002E6DB8" w:rsidP="002E6DB8">
      <w:pPr>
        <w:pStyle w:val="Normal20"/>
        <w:spacing w:line="360" w:lineRule="auto"/>
        <w:ind w:firstLine="602"/>
        <w:rPr>
          <w:rFonts w:ascii="Calibri" w:eastAsia="宋体" w:hAnsi="Calibri"/>
          <w:sz w:val="30"/>
          <w:szCs w:val="30"/>
        </w:rPr>
      </w:pPr>
      <w:r w:rsidRPr="002E6DB8">
        <w:rPr>
          <w:rFonts w:ascii="Calibri" w:eastAsia="宋体" w:hAnsi="Calibri" w:hint="eastAsia"/>
          <w:sz w:val="30"/>
          <w:szCs w:val="30"/>
        </w:rPr>
        <w:t>五、项目实施方案</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内容如下：</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1）项目理解方案：针对泗洪县第二轮土地承包到期后再延长30年试点项目测绘等采购的特点进行项目的理解，内容应当包含对项目背景、项目范围、项目编制依据、项目编制原则、项目内容、项目成果要求等的总体理解，目标任务应当明确、思路清晰，内容应当切合泗洪当地实际情况，具有一定的深度，要全面、合理。</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2）技术方案：根据本项目特征梳理本项目技术路线，形成完整的技术思路，技术方案主要内容应当至少包括：包括对接确权平台软件商，对延包资料收集、数据录入、修正；材料打印；承包地块测绘并导入确权平台等内容，内容应当切合泗洪当地实际情况，要全面、合理，具有可行性。</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3）项目进度安排：针对泗洪县第二轮土地承包到期后再延长30年试点项目测绘等采购项目的进度计划安排进行编制方案，进度安排方案应当包括对项目完成期限（在响应招标文件基础上的）得，项目进度安排、工序管理措施、遇到政策性时间问题的相关内容的表述，方案应当符合政策规定及切合当地实际情况，要全面、合理，具有可行性、服务保障体系齐全。</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4）项目质量管理保障措施：针对泗洪县第二轮土地承包到期后再延长30年试点项目测绘等采购项目所提供质量管理保障相应措施，保障措施方案应符合政策规定及切合当地实际情况，具有具体的保障措施手段，确保充分保障项目质量并顺利取得项目成果，方案内容应当全面、细致、具体可行。</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5）服务保障措施：针对泗洪县第二轮土地承包到期后再延长30年试点项目测绘等采购项目结束后对采购人提供的后续服务，后续服务方案应有利于采购人以及对本项目服务成果的完善，问题的响应时间处理（半小时内电话、微信技术支持、解决及咨询、若遇特殊情</w:t>
      </w:r>
      <w:r>
        <w:rPr>
          <w:rFonts w:ascii="宋体" w:eastAsia="宋体" w:hAnsi="宋体" w:cs="宋体" w:hint="eastAsia"/>
          <w:b w:val="0"/>
          <w:sz w:val="21"/>
          <w:szCs w:val="21"/>
        </w:rPr>
        <w:lastRenderedPageBreak/>
        <w:t>况需现场技术支持的，需积极支持配合）及解决办法，方案内容应完整详实、切实可行，有利于采购人实际工作。</w:t>
      </w:r>
    </w:p>
    <w:p w:rsidR="002E6DB8" w:rsidRPr="002E6DB8" w:rsidRDefault="002E6DB8" w:rsidP="002E6DB8">
      <w:pPr>
        <w:pStyle w:val="Normal20"/>
        <w:spacing w:line="360" w:lineRule="auto"/>
        <w:ind w:firstLine="602"/>
        <w:rPr>
          <w:rFonts w:ascii="Calibri" w:eastAsia="宋体" w:hAnsi="Calibri"/>
          <w:sz w:val="30"/>
          <w:szCs w:val="30"/>
        </w:rPr>
      </w:pPr>
      <w:r w:rsidRPr="002E6DB8">
        <w:rPr>
          <w:rFonts w:ascii="Calibri" w:eastAsia="宋体" w:hAnsi="Calibri" w:hint="eastAsia"/>
          <w:sz w:val="30"/>
          <w:szCs w:val="30"/>
        </w:rPr>
        <w:t>六、注意事项</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1、报价内容包括:项目完成过程中的服务本身价格、服务人员工资福利、服务技能培训、售后服务、利润、资料费、会议费、交通费、税费以及服务过程中涉及到的其他一切费用。</w:t>
      </w:r>
    </w:p>
    <w:p w:rsidR="002E6DB8" w:rsidRDefault="002E6DB8" w:rsidP="002E6DB8">
      <w:pPr>
        <w:pStyle w:val="Normal20"/>
        <w:spacing w:line="360" w:lineRule="auto"/>
        <w:ind w:firstLine="420"/>
        <w:rPr>
          <w:rFonts w:ascii="宋体" w:eastAsia="宋体" w:hAnsi="宋体" w:cs="宋体"/>
          <w:b w:val="0"/>
          <w:sz w:val="21"/>
          <w:szCs w:val="21"/>
        </w:rPr>
      </w:pPr>
      <w:r>
        <w:rPr>
          <w:rFonts w:ascii="宋体" w:eastAsia="宋体" w:hAnsi="宋体" w:cs="宋体" w:hint="eastAsia"/>
          <w:b w:val="0"/>
          <w:sz w:val="21"/>
          <w:szCs w:val="21"/>
        </w:rPr>
        <w:t>2、报价注意事项：供应商报价时应充分考虑所有可能影响到报价的因素，一旦评标结束最终成交，总价将包定，不予调整。如发生漏、缺、少项，都将被认为是成交人的报价让利行为，损失自负。</w:t>
      </w:r>
    </w:p>
    <w:p w:rsidR="00451DC7" w:rsidRPr="002E6DB8" w:rsidRDefault="00451DC7" w:rsidP="00451DC7">
      <w:pPr>
        <w:pStyle w:val="Normal20"/>
        <w:spacing w:line="360" w:lineRule="auto"/>
        <w:ind w:firstLine="420"/>
        <w:rPr>
          <w:rFonts w:ascii="宋体" w:eastAsia="宋体" w:hAnsi="宋体" w:cs="宋体"/>
          <w:b w:val="0"/>
          <w:sz w:val="21"/>
          <w:szCs w:val="21"/>
        </w:rPr>
      </w:pPr>
    </w:p>
    <w:p w:rsidR="00FC6017" w:rsidRDefault="00FC6017" w:rsidP="00451DC7">
      <w:pPr>
        <w:pStyle w:val="p1700"/>
        <w:widowControl w:val="0"/>
        <w:spacing w:before="0" w:beforeAutospacing="0" w:after="0" w:afterAutospacing="0" w:line="500" w:lineRule="exact"/>
        <w:ind w:firstLineChars="200" w:firstLine="480"/>
        <w:jc w:val="both"/>
        <w:rPr>
          <w:rFonts w:ascii="Times New Roman" w:eastAsia="等线" w:hAnsi="Times New Roman" w:cs="仿宋"/>
        </w:rPr>
      </w:pPr>
    </w:p>
    <w:p w:rsidR="00FC6017" w:rsidRDefault="00FC6017" w:rsidP="00451DC7">
      <w:pPr>
        <w:pStyle w:val="p1700"/>
        <w:widowControl w:val="0"/>
        <w:spacing w:before="0" w:beforeAutospacing="0" w:after="0" w:afterAutospacing="0" w:line="500" w:lineRule="exact"/>
        <w:ind w:firstLineChars="200" w:firstLine="480"/>
        <w:jc w:val="both"/>
        <w:rPr>
          <w:rFonts w:ascii="Times New Roman" w:eastAsia="等线" w:hAnsi="Times New Roman" w:cs="仿宋"/>
        </w:rPr>
      </w:pPr>
    </w:p>
    <w:p w:rsidR="00FC6017" w:rsidRDefault="00FC6017" w:rsidP="00451DC7">
      <w:pPr>
        <w:pStyle w:val="p1700"/>
        <w:widowControl w:val="0"/>
        <w:spacing w:before="0" w:beforeAutospacing="0" w:after="0" w:afterAutospacing="0" w:line="500" w:lineRule="exact"/>
        <w:ind w:firstLineChars="200" w:firstLine="480"/>
        <w:jc w:val="both"/>
        <w:rPr>
          <w:rFonts w:ascii="Times New Roman" w:eastAsia="等线" w:hAnsi="Times New Roman" w:cs="仿宋"/>
        </w:rPr>
      </w:pPr>
    </w:p>
    <w:p w:rsidR="00FC6017" w:rsidRDefault="00FC6017" w:rsidP="00451DC7">
      <w:pPr>
        <w:pStyle w:val="p1700"/>
        <w:widowControl w:val="0"/>
        <w:spacing w:before="0" w:beforeAutospacing="0" w:after="0" w:afterAutospacing="0" w:line="500" w:lineRule="exact"/>
        <w:ind w:firstLineChars="200" w:firstLine="480"/>
        <w:jc w:val="both"/>
        <w:rPr>
          <w:rFonts w:ascii="Times New Roman" w:eastAsia="等线" w:hAnsi="Times New Roman" w:cs="仿宋"/>
        </w:rPr>
      </w:pPr>
    </w:p>
    <w:p w:rsidR="00FC6017" w:rsidRDefault="00FC6017" w:rsidP="00451DC7">
      <w:pPr>
        <w:pStyle w:val="p1700"/>
        <w:widowControl w:val="0"/>
        <w:spacing w:before="0" w:beforeAutospacing="0" w:after="0" w:afterAutospacing="0" w:line="500" w:lineRule="exact"/>
        <w:ind w:firstLineChars="200" w:firstLine="480"/>
        <w:jc w:val="both"/>
        <w:rPr>
          <w:rFonts w:ascii="Times New Roman" w:eastAsia="等线" w:hAnsi="Times New Roman" w:cs="仿宋"/>
        </w:rPr>
      </w:pPr>
    </w:p>
    <w:p w:rsidR="00FC6017" w:rsidRDefault="00FC6017" w:rsidP="00451DC7">
      <w:pPr>
        <w:pStyle w:val="p1700"/>
        <w:widowControl w:val="0"/>
        <w:spacing w:before="0" w:beforeAutospacing="0" w:after="0" w:afterAutospacing="0" w:line="500" w:lineRule="exact"/>
        <w:ind w:firstLineChars="200" w:firstLine="480"/>
        <w:jc w:val="both"/>
        <w:rPr>
          <w:rFonts w:ascii="Times New Roman" w:eastAsia="等线" w:hAnsi="Times New Roman" w:cs="仿宋"/>
        </w:rPr>
      </w:pPr>
    </w:p>
    <w:p w:rsidR="00451DC7" w:rsidRDefault="00451DC7" w:rsidP="00451DC7"/>
    <w:p w:rsidR="009B2230" w:rsidRDefault="009B2230" w:rsidP="00451DC7"/>
    <w:sectPr w:rsidR="009B2230" w:rsidSect="00BD1D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C5" w:rsidRDefault="00B759C5" w:rsidP="00451DC7">
      <w:r>
        <w:separator/>
      </w:r>
    </w:p>
  </w:endnote>
  <w:endnote w:type="continuationSeparator" w:id="1">
    <w:p w:rsidR="00B759C5" w:rsidRDefault="00B759C5" w:rsidP="00451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C5" w:rsidRDefault="00B759C5" w:rsidP="00451DC7">
      <w:r>
        <w:separator/>
      </w:r>
    </w:p>
  </w:footnote>
  <w:footnote w:type="continuationSeparator" w:id="1">
    <w:p w:rsidR="00B759C5" w:rsidRDefault="00B759C5" w:rsidP="00451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56A"/>
    <w:multiLevelType w:val="multilevel"/>
    <w:tmpl w:val="0020056A"/>
    <w:lvl w:ilvl="0">
      <w:start w:val="1"/>
      <w:numFmt w:val="decimal"/>
      <w:suff w:val="nothing"/>
      <w:lvlText w:val="(%1)"/>
      <w:lvlJc w:val="left"/>
      <w:pPr>
        <w:ind w:left="0" w:firstLine="4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DC7"/>
    <w:rsid w:val="000814C4"/>
    <w:rsid w:val="000F6A8C"/>
    <w:rsid w:val="0010095F"/>
    <w:rsid w:val="00134AE2"/>
    <w:rsid w:val="0013740F"/>
    <w:rsid w:val="001951BE"/>
    <w:rsid w:val="001D371F"/>
    <w:rsid w:val="002767E4"/>
    <w:rsid w:val="00277077"/>
    <w:rsid w:val="002E6DB8"/>
    <w:rsid w:val="00312BD3"/>
    <w:rsid w:val="00314AD1"/>
    <w:rsid w:val="00342119"/>
    <w:rsid w:val="0038284B"/>
    <w:rsid w:val="003A34EA"/>
    <w:rsid w:val="003C7BD6"/>
    <w:rsid w:val="004435A8"/>
    <w:rsid w:val="00451DC7"/>
    <w:rsid w:val="00466467"/>
    <w:rsid w:val="004B1B9B"/>
    <w:rsid w:val="00532696"/>
    <w:rsid w:val="005F4D75"/>
    <w:rsid w:val="00600F9E"/>
    <w:rsid w:val="0078375B"/>
    <w:rsid w:val="007D2E57"/>
    <w:rsid w:val="00927207"/>
    <w:rsid w:val="009B2230"/>
    <w:rsid w:val="00A20139"/>
    <w:rsid w:val="00AC4F0B"/>
    <w:rsid w:val="00B759C5"/>
    <w:rsid w:val="00BD1D2B"/>
    <w:rsid w:val="00C22081"/>
    <w:rsid w:val="00C73B3E"/>
    <w:rsid w:val="00CF1F11"/>
    <w:rsid w:val="00D0069F"/>
    <w:rsid w:val="00DC2D5B"/>
    <w:rsid w:val="00FC6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DC7"/>
    <w:pPr>
      <w:widowControl w:val="0"/>
      <w:jc w:val="both"/>
    </w:pPr>
    <w:rPr>
      <w:rFonts w:ascii="Calibri" w:eastAsia="宋体"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DC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451DC7"/>
    <w:rPr>
      <w:sz w:val="18"/>
      <w:szCs w:val="18"/>
    </w:rPr>
  </w:style>
  <w:style w:type="paragraph" w:styleId="a4">
    <w:name w:val="footer"/>
    <w:basedOn w:val="a"/>
    <w:link w:val="Char0"/>
    <w:uiPriority w:val="99"/>
    <w:semiHidden/>
    <w:unhideWhenUsed/>
    <w:rsid w:val="00451DC7"/>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451DC7"/>
    <w:rPr>
      <w:sz w:val="18"/>
      <w:szCs w:val="18"/>
    </w:rPr>
  </w:style>
  <w:style w:type="paragraph" w:customStyle="1" w:styleId="Normal20">
    <w:name w:val="Normal_20"/>
    <w:next w:val="a"/>
    <w:qFormat/>
    <w:rsid w:val="00451DC7"/>
    <w:rPr>
      <w:rFonts w:ascii="黑体" w:eastAsia="黑体" w:hAnsi="黑体" w:cs="黑体"/>
      <w:b/>
      <w:kern w:val="0"/>
      <w:sz w:val="32"/>
      <w:szCs w:val="24"/>
    </w:rPr>
  </w:style>
  <w:style w:type="paragraph" w:customStyle="1" w:styleId="Normal190">
    <w:name w:val="Normal_19_0"/>
    <w:basedOn w:val="a"/>
    <w:next w:val="a"/>
    <w:qFormat/>
    <w:rsid w:val="00451DC7"/>
    <w:rPr>
      <w:szCs w:val="24"/>
    </w:rPr>
  </w:style>
  <w:style w:type="paragraph" w:customStyle="1" w:styleId="p1700">
    <w:name w:val="p17_0_0"/>
    <w:basedOn w:val="Normal190"/>
    <w:qFormat/>
    <w:rsid w:val="00451DC7"/>
    <w:pPr>
      <w:widowControl/>
      <w:spacing w:before="100" w:beforeAutospacing="1" w:after="100" w:afterAutospacing="1"/>
      <w:jc w:val="left"/>
    </w:pPr>
    <w:rPr>
      <w:rFonts w:ascii="宋体" w:eastAsia="Times New Roman" w:hAnsi="宋体" w:cs="宋体"/>
      <w:sz w:val="24"/>
    </w:rPr>
  </w:style>
  <w:style w:type="paragraph" w:customStyle="1" w:styleId="Normal19">
    <w:name w:val="Normal_19"/>
    <w:next w:val="a"/>
    <w:qFormat/>
    <w:rsid w:val="000F6A8C"/>
    <w:rPr>
      <w:rFonts w:ascii="黑体" w:eastAsia="黑体" w:hAnsi="黑体" w:cs="黑体"/>
      <w:b/>
      <w:kern w:val="0"/>
      <w:sz w:val="32"/>
      <w:szCs w:val="24"/>
    </w:rPr>
  </w:style>
  <w:style w:type="paragraph" w:styleId="a5">
    <w:name w:val="Body Text"/>
    <w:basedOn w:val="a"/>
    <w:link w:val="Char1"/>
    <w:semiHidden/>
    <w:qFormat/>
    <w:rsid w:val="000F6A8C"/>
    <w:rPr>
      <w:rFonts w:ascii="仿宋" w:eastAsia="仿宋" w:hAnsi="仿宋" w:cs="仿宋"/>
      <w:sz w:val="32"/>
      <w:szCs w:val="32"/>
      <w:lang w:eastAsia="en-US"/>
    </w:rPr>
  </w:style>
  <w:style w:type="character" w:customStyle="1" w:styleId="Char1">
    <w:name w:val="正文文本 Char"/>
    <w:basedOn w:val="a0"/>
    <w:link w:val="a5"/>
    <w:semiHidden/>
    <w:qFormat/>
    <w:rsid w:val="000F6A8C"/>
    <w:rPr>
      <w:rFonts w:ascii="仿宋" w:eastAsia="仿宋" w:hAnsi="仿宋" w:cs="仿宋"/>
      <w:kern w:val="0"/>
      <w:sz w:val="32"/>
      <w:szCs w:val="32"/>
      <w:lang w:eastAsia="en-US"/>
    </w:rPr>
  </w:style>
  <w:style w:type="paragraph" w:styleId="a6">
    <w:name w:val="Body Text Indent"/>
    <w:basedOn w:val="a"/>
    <w:link w:val="Char2"/>
    <w:uiPriority w:val="99"/>
    <w:semiHidden/>
    <w:unhideWhenUsed/>
    <w:rsid w:val="000F6A8C"/>
    <w:pPr>
      <w:spacing w:after="120"/>
      <w:ind w:leftChars="200" w:left="420"/>
    </w:pPr>
  </w:style>
  <w:style w:type="character" w:customStyle="1" w:styleId="Char2">
    <w:name w:val="正文文本缩进 Char"/>
    <w:basedOn w:val="a0"/>
    <w:link w:val="a6"/>
    <w:uiPriority w:val="99"/>
    <w:semiHidden/>
    <w:rsid w:val="000F6A8C"/>
    <w:rPr>
      <w:rFonts w:ascii="Calibri" w:eastAsia="宋体" w:hAnsi="Calibri" w:cs="Times New Roman"/>
      <w:kern w:val="0"/>
    </w:rPr>
  </w:style>
  <w:style w:type="paragraph" w:styleId="2">
    <w:name w:val="Body Text First Indent 2"/>
    <w:basedOn w:val="a6"/>
    <w:link w:val="2Char"/>
    <w:qFormat/>
    <w:rsid w:val="000F6A8C"/>
    <w:pPr>
      <w:spacing w:after="0" w:line="360" w:lineRule="auto"/>
      <w:ind w:leftChars="0" w:left="0" w:firstLine="420"/>
    </w:pPr>
    <w:rPr>
      <w:rFonts w:ascii="宋体" w:eastAsia="仿宋_GB2312" w:hAnsi="宋体"/>
    </w:rPr>
  </w:style>
  <w:style w:type="character" w:customStyle="1" w:styleId="2Char">
    <w:name w:val="正文首行缩进 2 Char"/>
    <w:basedOn w:val="Char2"/>
    <w:link w:val="2"/>
    <w:qFormat/>
    <w:rsid w:val="000F6A8C"/>
    <w:rPr>
      <w:rFonts w:ascii="宋体" w:eastAsia="仿宋_GB2312" w:hAnsi="宋体"/>
    </w:rPr>
  </w:style>
  <w:style w:type="paragraph" w:styleId="a7">
    <w:name w:val="List Paragraph"/>
    <w:basedOn w:val="a"/>
    <w:uiPriority w:val="34"/>
    <w:qFormat/>
    <w:rsid w:val="000F6A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532</Words>
  <Characters>3033</Characters>
  <Application>Microsoft Office Word</Application>
  <DocSecurity>0</DocSecurity>
  <Lines>25</Lines>
  <Paragraphs>7</Paragraphs>
  <ScaleCrop>false</ScaleCrop>
  <Company>微软中国</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dcterms:created xsi:type="dcterms:W3CDTF">2025-02-19T02:36:00Z</dcterms:created>
  <dcterms:modified xsi:type="dcterms:W3CDTF">2025-03-13T01:00:00Z</dcterms:modified>
</cp:coreProperties>
</file>